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rebuchet MS" w:hAnsi="Trebuchet MS"/>
          <w:b/>
          <w:sz w:val="24"/>
          <w:szCs w:val="24"/>
          <w:lang w:val="ro-RO"/>
        </w:rPr>
      </w:pPr>
      <w:bookmarkStart w:id="0" w:name="_GoBack"/>
      <w:bookmarkEnd w:id="0"/>
      <w:r>
        <w:rPr>
          <w:rFonts w:ascii="Trebuchet MS" w:hAnsi="Trebuchet MS"/>
          <w:b/>
          <w:sz w:val="24"/>
          <w:szCs w:val="24"/>
        </w:rPr>
        <w:t>FI</w:t>
      </w:r>
      <w:r>
        <w:rPr>
          <w:rFonts w:ascii="Trebuchet MS" w:hAnsi="Trebuchet MS"/>
          <w:b/>
          <w:sz w:val="24"/>
          <w:szCs w:val="24"/>
          <w:lang w:val="ro-RO"/>
        </w:rPr>
        <w:t xml:space="preserve">ȘĂ TEHNICĂ </w:t>
      </w:r>
    </w:p>
    <w:p>
      <w:pPr>
        <w:jc w:val="center"/>
        <w:rPr>
          <w:rFonts w:ascii="Trebuchet MS" w:hAnsi="Trebuchet MS" w:cs="Times New Roman"/>
          <w:b/>
        </w:rPr>
      </w:pPr>
      <w:r>
        <w:rPr>
          <w:rFonts w:ascii="Trebuchet MS" w:hAnsi="Trebuchet MS"/>
          <w:b/>
          <w:sz w:val="24"/>
          <w:szCs w:val="24"/>
          <w:lang w:val="ro-RO"/>
        </w:rPr>
        <w:t xml:space="preserve">ADER 1.1.1. - </w:t>
      </w:r>
      <w:r>
        <w:rPr>
          <w:rFonts w:ascii="Trebuchet MS" w:hAnsi="Trebuchet MS" w:cs="Times New Roman"/>
          <w:b/>
        </w:rPr>
        <w:t>Îmbunătăţirea structurii soiurilor de grâu de toamnă în sudul și estul țării prin crearea și introducerea de soiuri cu producţie mai mare şi mai stabilă în condiţiile schimbãrilor climatice şi cu calitate corespunzãtoare cerinţelor pieţei</w:t>
      </w:r>
    </w:p>
    <w:p>
      <w:pPr>
        <w:rPr>
          <w:rFonts w:ascii="Trebuchet MS" w:hAnsi="Trebuchet MS"/>
          <w:b/>
        </w:rPr>
      </w:pPr>
      <w:r>
        <w:rPr>
          <w:rFonts w:ascii="Trebuchet MS" w:hAnsi="Trebuchet MS"/>
          <w:b/>
        </w:rPr>
        <w:t>CONTRACTOR - INCDA Fundulea</w:t>
      </w:r>
    </w:p>
    <w:p>
      <w:pPr>
        <w:rPr>
          <w:rFonts w:ascii="Trebuchet MS" w:hAnsi="Trebuchet MS"/>
          <w:b/>
        </w:rPr>
      </w:pPr>
    </w:p>
    <w:p>
      <w:pPr>
        <w:pStyle w:val="6"/>
        <w:framePr w:hSpace="180" w:wrap="around" w:vAnchor="text" w:hAnchor="text" w:xAlign="right" w:y="1"/>
        <w:suppressOverlap/>
        <w:spacing w:line="276" w:lineRule="auto"/>
        <w:ind w:firstLine="720"/>
        <w:jc w:val="both"/>
        <w:rPr>
          <w:rFonts w:ascii="Trebuchet MS" w:hAnsi="Trebuchet MS"/>
          <w:lang w:eastAsia="ro-RO"/>
        </w:rPr>
      </w:pPr>
      <w:r>
        <w:rPr>
          <w:rFonts w:ascii="Trebuchet MS" w:hAnsi="Trebuchet MS"/>
          <w:lang w:eastAsia="ro-RO"/>
        </w:rPr>
        <w:t xml:space="preserve">În urma unei caracterizări complete a materialului biologic, din punct de vedere agronomic, testat atât în condiţii naturale (la toţi cei 5 parteneri), cât şi în condiţii artificiale (la CP) s-au ales </w:t>
      </w:r>
      <w:r>
        <w:rPr>
          <w:rFonts w:ascii="Trebuchet MS" w:hAnsi="Trebuchet MS"/>
          <w:b/>
          <w:bCs/>
          <w:lang w:eastAsia="ro-RO"/>
        </w:rPr>
        <w:t>genitori potriviţi</w:t>
      </w:r>
      <w:r>
        <w:rPr>
          <w:rFonts w:ascii="Trebuchet MS" w:hAnsi="Trebuchet MS"/>
          <w:lang w:eastAsia="ro-RO"/>
        </w:rPr>
        <w:t xml:space="preserve"> pentru încrucişarile viitoare care au ca scop creşterea variabilităţii genetice şi de asemenea </w:t>
      </w:r>
      <w:r>
        <w:rPr>
          <w:rFonts w:ascii="Trebuchet MS" w:hAnsi="Trebuchet MS"/>
          <w:b/>
          <w:bCs/>
          <w:lang w:eastAsia="ro-RO"/>
        </w:rPr>
        <w:t>creşterea  continuă a progresului genetic</w:t>
      </w:r>
      <w:r>
        <w:rPr>
          <w:rFonts w:ascii="Trebuchet MS" w:hAnsi="Trebuchet MS"/>
          <w:lang w:eastAsia="ro-RO"/>
        </w:rPr>
        <w:t xml:space="preserve">. </w:t>
      </w:r>
    </w:p>
    <w:p>
      <w:pPr>
        <w:pStyle w:val="6"/>
        <w:framePr w:hSpace="180" w:wrap="around" w:vAnchor="text" w:hAnchor="text" w:xAlign="right" w:y="1"/>
        <w:suppressOverlap/>
        <w:spacing w:line="276" w:lineRule="auto"/>
        <w:ind w:firstLine="720"/>
        <w:jc w:val="both"/>
        <w:rPr>
          <w:rFonts w:ascii="Trebuchet MS" w:hAnsi="Trebuchet MS"/>
          <w:lang w:eastAsia="ro-RO"/>
        </w:rPr>
      </w:pPr>
      <w:r>
        <w:rPr>
          <w:rFonts w:ascii="Trebuchet MS" w:hAnsi="Trebuchet MS"/>
          <w:lang w:eastAsia="ro-RO"/>
        </w:rPr>
        <w:t xml:space="preserve">În ce priveşte </w:t>
      </w:r>
      <w:r>
        <w:rPr>
          <w:rFonts w:ascii="Trebuchet MS" w:hAnsi="Trebuchet MS"/>
          <w:b/>
          <w:bCs/>
          <w:lang w:eastAsia="ro-RO"/>
        </w:rPr>
        <w:t>diseminarea rezultatelor</w:t>
      </w:r>
      <w:r>
        <w:rPr>
          <w:rFonts w:ascii="Trebuchet MS" w:hAnsi="Trebuchet MS"/>
          <w:lang w:eastAsia="ro-RO"/>
        </w:rPr>
        <w:t xml:space="preserve">-  au fost înfiinţate </w:t>
      </w:r>
      <w:r>
        <w:rPr>
          <w:rFonts w:ascii="Trebuchet MS" w:hAnsi="Trebuchet MS"/>
          <w:b/>
          <w:bCs/>
          <w:lang w:eastAsia="ro-RO"/>
        </w:rPr>
        <w:t>loturi demonstrative</w:t>
      </w:r>
      <w:r>
        <w:rPr>
          <w:rFonts w:ascii="Trebuchet MS" w:hAnsi="Trebuchet MS"/>
          <w:lang w:eastAsia="ro-RO"/>
        </w:rPr>
        <w:t xml:space="preserve"> atât la fiecare partener, cât şi în tară; au fost publicate articole ştiinţifice cu date obţinute în cadrul proiectului, în reviste de specialitate. </w:t>
      </w:r>
    </w:p>
    <w:p>
      <w:pPr>
        <w:pStyle w:val="6"/>
        <w:framePr w:hSpace="180" w:wrap="around" w:vAnchor="text" w:hAnchor="text" w:xAlign="right" w:y="1"/>
        <w:suppressOverlap/>
        <w:spacing w:line="276" w:lineRule="auto"/>
        <w:ind w:firstLine="720"/>
        <w:jc w:val="both"/>
        <w:rPr>
          <w:rFonts w:ascii="Trebuchet MS" w:hAnsi="Trebuchet MS"/>
          <w:lang w:eastAsia="ro-RO"/>
        </w:rPr>
      </w:pPr>
      <w:r>
        <w:rPr>
          <w:rFonts w:ascii="Trebuchet MS" w:hAnsi="Trebuchet MS"/>
          <w:lang w:eastAsia="ro-RO"/>
        </w:rPr>
        <w:t xml:space="preserve">Pe perioada de desfăşurare a proiectului, au fost predate la ISTIS în vederea </w:t>
      </w:r>
      <w:r>
        <w:rPr>
          <w:rFonts w:ascii="Trebuchet MS" w:hAnsi="Trebuchet MS"/>
          <w:b/>
          <w:bCs/>
          <w:lang w:eastAsia="ro-RO"/>
        </w:rPr>
        <w:t>omologării</w:t>
      </w:r>
      <w:r>
        <w:rPr>
          <w:rFonts w:ascii="Trebuchet MS" w:hAnsi="Trebuchet MS"/>
          <w:lang w:eastAsia="ro-RO"/>
        </w:rPr>
        <w:t xml:space="preserve">, </w:t>
      </w:r>
      <w:r>
        <w:rPr>
          <w:rFonts w:ascii="Trebuchet MS" w:hAnsi="Trebuchet MS"/>
          <w:b/>
          <w:bCs/>
          <w:lang w:eastAsia="ro-RO"/>
        </w:rPr>
        <w:t>3 linii de grâu</w:t>
      </w:r>
      <w:r>
        <w:rPr>
          <w:rFonts w:ascii="Trebuchet MS" w:hAnsi="Trebuchet MS"/>
          <w:lang w:eastAsia="ro-RO"/>
        </w:rPr>
        <w:t xml:space="preserve">, şi anume: </w:t>
      </w:r>
      <w:r>
        <w:rPr>
          <w:rFonts w:ascii="Trebuchet MS" w:hAnsi="Trebuchet MS"/>
          <w:b/>
          <w:bCs/>
          <w:lang w:eastAsia="ro-RO"/>
        </w:rPr>
        <w:t>FDL Concurent şi FDL Consecvent şi FDL Darnic</w:t>
      </w:r>
      <w:r>
        <w:rPr>
          <w:rFonts w:ascii="Trebuchet MS" w:hAnsi="Trebuchet MS"/>
          <w:lang w:eastAsia="ro-RO"/>
        </w:rPr>
        <w:t>.</w:t>
      </w:r>
    </w:p>
    <w:p>
      <w:pPr>
        <w:framePr w:hSpace="180" w:wrap="around" w:vAnchor="text" w:hAnchor="text" w:xAlign="right" w:y="1"/>
        <w:suppressOverlap/>
        <w:ind w:firstLine="708"/>
        <w:jc w:val="both"/>
        <w:rPr>
          <w:rFonts w:ascii="Trebuchet MS" w:hAnsi="Trebuchet MS"/>
        </w:rPr>
      </w:pPr>
      <w:r>
        <w:rPr>
          <w:rFonts w:ascii="Trebuchet MS" w:hAnsi="Trebuchet MS"/>
        </w:rPr>
        <w:t xml:space="preserve">S-au analizat 200 hibrizi F1 din care au fost selectati 150 şi 100 combinaţii hibride F2 din care au fost alese 70, pentru avansarea acestora </w:t>
      </w:r>
      <w:r>
        <w:rPr>
          <w:rFonts w:ascii="Trebuchet MS" w:hAnsi="Trebuchet MS" w:cs="Times New Roman"/>
        </w:rPr>
        <w:t>î</w:t>
      </w:r>
      <w:r>
        <w:rPr>
          <w:rFonts w:ascii="Trebuchet MS" w:hAnsi="Trebuchet MS"/>
        </w:rPr>
        <w:t>n urm</w:t>
      </w:r>
      <w:r>
        <w:rPr>
          <w:rFonts w:ascii="Trebuchet MS" w:hAnsi="Trebuchet MS" w:cs="Times New Roman"/>
        </w:rPr>
        <w:t>ă</w:t>
      </w:r>
      <w:r>
        <w:rPr>
          <w:rFonts w:ascii="Trebuchet MS" w:hAnsi="Trebuchet MS"/>
        </w:rPr>
        <w:t xml:space="preserve">toarele verigi ale programului de ameliorare. </w:t>
      </w:r>
    </w:p>
    <w:p>
      <w:pPr>
        <w:framePr w:hSpace="180" w:wrap="around" w:vAnchor="text" w:hAnchor="text" w:xAlign="right" w:y="1"/>
        <w:suppressOverlap/>
        <w:ind w:firstLine="708"/>
        <w:jc w:val="both"/>
        <w:rPr>
          <w:rFonts w:ascii="Trebuchet MS" w:hAnsi="Trebuchet MS"/>
        </w:rPr>
      </w:pPr>
      <w:r>
        <w:rPr>
          <w:rFonts w:ascii="Trebuchet MS" w:hAnsi="Trebuchet MS"/>
        </w:rPr>
        <w:t>Conform datelor oficiale ISTIS</w:t>
      </w:r>
      <w:r>
        <w:rPr>
          <w:rFonts w:ascii="Trebuchet MS" w:hAnsi="Trebuchet MS"/>
          <w:b/>
          <w:bCs/>
        </w:rPr>
        <w:t>, linia de gr</w:t>
      </w:r>
      <w:r>
        <w:rPr>
          <w:rFonts w:ascii="Trebuchet MS" w:hAnsi="Trebuchet MS" w:cs="Times New Roman"/>
          <w:b/>
          <w:bCs/>
        </w:rPr>
        <w:t>â</w:t>
      </w:r>
      <w:r>
        <w:rPr>
          <w:rFonts w:ascii="Trebuchet MS" w:hAnsi="Trebuchet MS"/>
          <w:b/>
          <w:bCs/>
        </w:rPr>
        <w:t>u FDL Consecvent</w:t>
      </w:r>
      <w:r>
        <w:rPr>
          <w:rFonts w:ascii="Trebuchet MS" w:hAnsi="Trebuchet MS"/>
        </w:rPr>
        <w:t>, cu un spor mediu de produc</w:t>
      </w:r>
      <w:r>
        <w:rPr>
          <w:rFonts w:ascii="Trebuchet MS" w:hAnsi="Trebuchet MS" w:cs="Times New Roman"/>
        </w:rPr>
        <w:t>ţ</w:t>
      </w:r>
      <w:r>
        <w:rPr>
          <w:rFonts w:ascii="Trebuchet MS" w:hAnsi="Trebuchet MS"/>
        </w:rPr>
        <w:t>ie pe ultimii 3 ani, de 13% fa</w:t>
      </w:r>
      <w:r>
        <w:rPr>
          <w:rFonts w:ascii="Trebuchet MS" w:hAnsi="Trebuchet MS" w:cs="Times New Roman"/>
        </w:rPr>
        <w:t>ţă</w:t>
      </w:r>
      <w:r>
        <w:rPr>
          <w:rFonts w:ascii="Trebuchet MS" w:hAnsi="Trebuchet MS"/>
        </w:rPr>
        <w:t xml:space="preserve"> de soiul martor Glosa, </w:t>
      </w:r>
      <w:r>
        <w:rPr>
          <w:rFonts w:ascii="Trebuchet MS" w:hAnsi="Trebuchet MS" w:cs="Times New Roman"/>
        </w:rPr>
        <w:t>î</w:t>
      </w:r>
      <w:r>
        <w:rPr>
          <w:rFonts w:ascii="Trebuchet MS" w:hAnsi="Trebuchet MS"/>
        </w:rPr>
        <w:t xml:space="preserve">n zona Moldovei </w:t>
      </w:r>
      <w:r>
        <w:rPr>
          <w:rFonts w:ascii="Trebuchet MS" w:hAnsi="Trebuchet MS" w:cs="Times New Roman"/>
        </w:rPr>
        <w:t>ş</w:t>
      </w:r>
      <w:r>
        <w:rPr>
          <w:rFonts w:ascii="Trebuchet MS" w:hAnsi="Trebuchet MS"/>
        </w:rPr>
        <w:t>i Transilvaniei, respectiv cu produc</w:t>
      </w:r>
      <w:r>
        <w:rPr>
          <w:rFonts w:ascii="Trebuchet MS" w:hAnsi="Trebuchet MS" w:cs="Times New Roman"/>
        </w:rPr>
        <w:t>ţ</w:t>
      </w:r>
      <w:r>
        <w:rPr>
          <w:rFonts w:ascii="Trebuchet MS" w:hAnsi="Trebuchet MS"/>
        </w:rPr>
        <w:t xml:space="preserve">ia medie de 7834 kg/ha </w:t>
      </w:r>
      <w:r>
        <w:rPr>
          <w:rFonts w:ascii="Trebuchet MS" w:hAnsi="Trebuchet MS" w:cs="Times New Roman"/>
        </w:rPr>
        <w:t>ş</w:t>
      </w:r>
      <w:r>
        <w:rPr>
          <w:rFonts w:ascii="Trebuchet MS" w:hAnsi="Trebuchet MS"/>
        </w:rPr>
        <w:t>i un spor de 10% fat</w:t>
      </w:r>
      <w:r>
        <w:rPr>
          <w:rFonts w:ascii="Trebuchet MS" w:hAnsi="Trebuchet MS" w:cs="Times New Roman"/>
        </w:rPr>
        <w:t>ă</w:t>
      </w:r>
      <w:r>
        <w:rPr>
          <w:rFonts w:ascii="Trebuchet MS" w:hAnsi="Trebuchet MS"/>
        </w:rPr>
        <w:t xml:space="preserve"> de soiul Glosa </w:t>
      </w:r>
      <w:r>
        <w:rPr>
          <w:rFonts w:ascii="Trebuchet MS" w:hAnsi="Trebuchet MS" w:cs="Times New Roman"/>
        </w:rPr>
        <w:t>î</w:t>
      </w:r>
      <w:r>
        <w:rPr>
          <w:rFonts w:ascii="Trebuchet MS" w:hAnsi="Trebuchet MS"/>
        </w:rPr>
        <w:t>n zona generala, respectiv cu produc</w:t>
      </w:r>
      <w:r>
        <w:rPr>
          <w:rFonts w:ascii="Trebuchet MS" w:hAnsi="Trebuchet MS" w:cs="Times New Roman"/>
        </w:rPr>
        <w:t>ţ</w:t>
      </w:r>
      <w:r>
        <w:rPr>
          <w:rFonts w:ascii="Trebuchet MS" w:hAnsi="Trebuchet MS"/>
        </w:rPr>
        <w:t xml:space="preserve">ia medie de 7620 kg/ha, a primit raport favorabil </w:t>
      </w:r>
      <w:r>
        <w:rPr>
          <w:rFonts w:ascii="Trebuchet MS" w:hAnsi="Trebuchet MS" w:cs="Times New Roman"/>
        </w:rPr>
        <w:t>î</w:t>
      </w:r>
      <w:r>
        <w:rPr>
          <w:rFonts w:ascii="Trebuchet MS" w:hAnsi="Trebuchet MS"/>
        </w:rPr>
        <w:t>n ce prive</w:t>
      </w:r>
      <w:r>
        <w:rPr>
          <w:rFonts w:ascii="Trebuchet MS" w:hAnsi="Trebuchet MS" w:cs="Times New Roman"/>
        </w:rPr>
        <w:t>ş</w:t>
      </w:r>
      <w:r>
        <w:rPr>
          <w:rFonts w:ascii="Trebuchet MS" w:hAnsi="Trebuchet MS"/>
        </w:rPr>
        <w:t xml:space="preserve">te testul DUS (distinctie, uniformitate, stabilitate) </w:t>
      </w:r>
      <w:r>
        <w:rPr>
          <w:rFonts w:ascii="Trebuchet MS" w:hAnsi="Trebuchet MS" w:cs="Times New Roman"/>
        </w:rPr>
        <w:t>ş</w:t>
      </w:r>
      <w:r>
        <w:rPr>
          <w:rFonts w:ascii="Trebuchet MS" w:hAnsi="Trebuchet MS"/>
        </w:rPr>
        <w:t xml:space="preserve">i </w:t>
      </w:r>
      <w:r>
        <w:rPr>
          <w:rFonts w:ascii="Trebuchet MS" w:hAnsi="Trebuchet MS"/>
          <w:b/>
          <w:bCs/>
        </w:rPr>
        <w:t>va fi omologat</w:t>
      </w:r>
      <w:r>
        <w:rPr>
          <w:rFonts w:ascii="Trebuchet MS" w:hAnsi="Trebuchet MS" w:cs="Times New Roman"/>
          <w:b/>
          <w:bCs/>
        </w:rPr>
        <w:t>ă</w:t>
      </w:r>
      <w:r>
        <w:rPr>
          <w:rFonts w:ascii="Trebuchet MS" w:hAnsi="Trebuchet MS"/>
          <w:b/>
          <w:bCs/>
        </w:rPr>
        <w:t xml:space="preserve"> </w:t>
      </w:r>
      <w:r>
        <w:rPr>
          <w:rFonts w:ascii="Trebuchet MS" w:hAnsi="Trebuchet MS" w:cs="Times New Roman"/>
          <w:b/>
          <w:bCs/>
        </w:rPr>
        <w:t>î</w:t>
      </w:r>
      <w:r>
        <w:rPr>
          <w:rFonts w:ascii="Trebuchet MS" w:hAnsi="Trebuchet MS"/>
          <w:b/>
          <w:bCs/>
        </w:rPr>
        <w:t>n prim</w:t>
      </w:r>
      <w:r>
        <w:rPr>
          <w:rFonts w:ascii="Trebuchet MS" w:hAnsi="Trebuchet MS" w:cs="Times New Roman"/>
          <w:b/>
          <w:bCs/>
        </w:rPr>
        <w:t>ă</w:t>
      </w:r>
      <w:r>
        <w:rPr>
          <w:rFonts w:ascii="Trebuchet MS" w:hAnsi="Trebuchet MS"/>
          <w:b/>
          <w:bCs/>
        </w:rPr>
        <w:t>vara acestui an (2024)</w:t>
      </w:r>
      <w:r>
        <w:rPr>
          <w:rFonts w:ascii="Trebuchet MS" w:hAnsi="Trebuchet MS"/>
        </w:rPr>
        <w:t xml:space="preserve">. </w:t>
      </w:r>
    </w:p>
    <w:p>
      <w:pPr>
        <w:pStyle w:val="4"/>
        <w:framePr w:hSpace="180" w:wrap="around" w:vAnchor="text" w:hAnchor="text" w:xAlign="right" w:y="1"/>
        <w:suppressOverlap/>
        <w:jc w:val="both"/>
        <w:rPr>
          <w:rFonts w:ascii="Trebuchet MS" w:hAnsi="Trebuchet MS"/>
          <w:sz w:val="22"/>
          <w:szCs w:val="22"/>
        </w:rPr>
      </w:pPr>
      <w:r>
        <w:rPr>
          <w:rFonts w:ascii="Trebuchet MS" w:hAnsi="Trebuchet MS"/>
          <w:sz w:val="22"/>
          <w:szCs w:val="22"/>
        </w:rPr>
        <w:t xml:space="preserve">          </w:t>
      </w:r>
      <w:r>
        <w:rPr>
          <w:rFonts w:ascii="Times New Roman" w:hAnsi="Times New Roman" w:cs="Times New Roman"/>
          <w:sz w:val="22"/>
          <w:szCs w:val="22"/>
        </w:rPr>
        <w:t>Î</w:t>
      </w:r>
      <w:r>
        <w:rPr>
          <w:rFonts w:ascii="Trebuchet MS" w:hAnsi="Trebuchet MS"/>
          <w:sz w:val="22"/>
          <w:szCs w:val="22"/>
        </w:rPr>
        <w:t xml:space="preserve">n cadrul proiectului, linia </w:t>
      </w:r>
      <w:r>
        <w:rPr>
          <w:rFonts w:ascii="Trebuchet MS" w:hAnsi="Trebuchet MS"/>
          <w:b/>
          <w:sz w:val="22"/>
          <w:szCs w:val="22"/>
        </w:rPr>
        <w:t>FDL Consecvent</w:t>
      </w:r>
      <w:r>
        <w:rPr>
          <w:rFonts w:ascii="Trebuchet MS" w:hAnsi="Trebuchet MS"/>
          <w:sz w:val="22"/>
          <w:szCs w:val="22"/>
        </w:rPr>
        <w:t xml:space="preserve"> a obţinut un spor de producţie de 14%, în medie pe cele 4 condiţii de testare de la Fundulea şi un spor de 4,4% faţă de media experienţei, în medie pe toate centrele şi condiţiile de testare din sudul ţării, cu o amplitudine de variaţiei a producţiei de la 5659 kg/ha (semănat în epocă târzie la Fundulea) la 8362kg/ha (la Caracal), producţia medie  fiind de 6423 kg/ha. În nordul ţării, la Secuieni, a dat un spor de producţie, în medie pe cele două conditii de fertilizare de 7,7%, cu o producţie medie de 8947 kg/ha.  Conţinutul mediu de proteine a fost de 14,2%. A prezentat valori ale MH de 78-80 kg/hl.  </w:t>
      </w:r>
    </w:p>
    <w:p>
      <w:pPr>
        <w:jc w:val="both"/>
        <w:rPr>
          <w:rFonts w:ascii="Trebuchet MS" w:hAnsi="Trebuchet MS"/>
        </w:rPr>
      </w:pPr>
      <w:r>
        <w:rPr>
          <w:rFonts w:ascii="Trebuchet MS" w:hAnsi="Trebuchet MS"/>
        </w:rPr>
        <w:t xml:space="preserve"> </w:t>
      </w:r>
    </w:p>
    <w:p>
      <w:pPr>
        <w:ind w:firstLine="720"/>
        <w:jc w:val="both"/>
        <w:rPr>
          <w:rFonts w:ascii="Trebuchet MS" w:hAnsi="Trebuchet MS" w:cs="Times New Roman"/>
          <w:b/>
        </w:rPr>
      </w:pPr>
      <w:r>
        <w:rPr>
          <w:rFonts w:ascii="Times New Roman" w:hAnsi="Times New Roman" w:cs="Times New Roman"/>
        </w:rPr>
        <w:t>Î</w:t>
      </w:r>
      <w:r>
        <w:rPr>
          <w:rFonts w:ascii="Trebuchet MS" w:hAnsi="Trebuchet MS"/>
        </w:rPr>
        <w:t xml:space="preserve">n paralel, au fost înfiinţate </w:t>
      </w:r>
      <w:r>
        <w:rPr>
          <w:rFonts w:ascii="Trebuchet MS" w:hAnsi="Trebuchet MS"/>
          <w:b/>
          <w:bCs/>
        </w:rPr>
        <w:t>nuclee de sămânţa</w:t>
      </w:r>
      <w:r>
        <w:rPr>
          <w:rFonts w:ascii="Trebuchet MS" w:hAnsi="Trebuchet MS"/>
        </w:rPr>
        <w:t xml:space="preserve"> </w:t>
      </w:r>
      <w:r>
        <w:rPr>
          <w:rFonts w:ascii="Trebuchet MS" w:hAnsi="Trebuchet MS"/>
          <w:b/>
          <w:bCs/>
        </w:rPr>
        <w:t>amelioratorului</w:t>
      </w:r>
      <w:r>
        <w:rPr>
          <w:rFonts w:ascii="Trebuchet MS" w:hAnsi="Trebuchet MS"/>
        </w:rPr>
        <w:t xml:space="preserve"> din aceast</w:t>
      </w:r>
      <w:r>
        <w:rPr>
          <w:rFonts w:ascii="Trebuchet MS" w:hAnsi="Trebuchet MS" w:cs="Times New Roman"/>
        </w:rPr>
        <w:t>ă</w:t>
      </w:r>
      <w:r>
        <w:rPr>
          <w:rFonts w:ascii="Trebuchet MS" w:hAnsi="Trebuchet MS"/>
        </w:rPr>
        <w:t xml:space="preserve"> linie, pe o suprafa</w:t>
      </w:r>
      <w:r>
        <w:rPr>
          <w:rFonts w:ascii="Trebuchet MS" w:hAnsi="Trebuchet MS" w:cs="Times New Roman"/>
        </w:rPr>
        <w:t>ţă</w:t>
      </w:r>
      <w:r>
        <w:rPr>
          <w:rFonts w:ascii="Trebuchet MS" w:hAnsi="Trebuchet MS"/>
        </w:rPr>
        <w:t xml:space="preserve"> de 1ha, </w:t>
      </w:r>
      <w:r>
        <w:rPr>
          <w:rFonts w:ascii="Trebuchet MS" w:hAnsi="Trebuchet MS" w:cs="Times New Roman"/>
        </w:rPr>
        <w:t>î</w:t>
      </w:r>
      <w:r>
        <w:rPr>
          <w:rFonts w:ascii="Trebuchet MS" w:hAnsi="Trebuchet MS"/>
        </w:rPr>
        <w:t xml:space="preserve">n toamna anului 2023, astfel </w:t>
      </w:r>
      <w:r>
        <w:rPr>
          <w:rFonts w:ascii="Trebuchet MS" w:hAnsi="Trebuchet MS" w:cs="Times New Roman"/>
        </w:rPr>
        <w:t>î</w:t>
      </w:r>
      <w:r>
        <w:rPr>
          <w:rFonts w:ascii="Trebuchet MS" w:hAnsi="Trebuchet MS"/>
        </w:rPr>
        <w:t>nc</w:t>
      </w:r>
      <w:r>
        <w:rPr>
          <w:rFonts w:ascii="Trebuchet MS" w:hAnsi="Trebuchet MS" w:cs="Times New Roman"/>
        </w:rPr>
        <w:t>â</w:t>
      </w:r>
      <w:r>
        <w:rPr>
          <w:rFonts w:ascii="Trebuchet MS" w:hAnsi="Trebuchet MS"/>
        </w:rPr>
        <w:t>t dup</w:t>
      </w:r>
      <w:r>
        <w:rPr>
          <w:rFonts w:ascii="Trebuchet MS" w:hAnsi="Trebuchet MS" w:cs="Times New Roman"/>
        </w:rPr>
        <w:t>ă</w:t>
      </w:r>
      <w:r>
        <w:rPr>
          <w:rFonts w:ascii="Trebuchet MS" w:hAnsi="Trebuchet MS"/>
        </w:rPr>
        <w:t xml:space="preserve"> omologare s</w:t>
      </w:r>
      <w:r>
        <w:rPr>
          <w:rFonts w:ascii="Trebuchet MS" w:hAnsi="Trebuchet MS" w:cs="Times New Roman"/>
        </w:rPr>
        <w:t>ă</w:t>
      </w:r>
      <w:r>
        <w:rPr>
          <w:rFonts w:ascii="Trebuchet MS" w:hAnsi="Trebuchet MS"/>
        </w:rPr>
        <w:t xml:space="preserve"> avem s</w:t>
      </w:r>
      <w:r>
        <w:rPr>
          <w:rFonts w:ascii="Trebuchet MS" w:hAnsi="Trebuchet MS" w:cs="Times New Roman"/>
        </w:rPr>
        <w:t>ă</w:t>
      </w:r>
      <w:r>
        <w:rPr>
          <w:rFonts w:ascii="Trebuchet MS" w:hAnsi="Trebuchet MS"/>
        </w:rPr>
        <w:t>m</w:t>
      </w:r>
      <w:r>
        <w:rPr>
          <w:rFonts w:ascii="Trebuchet MS" w:hAnsi="Trebuchet MS" w:cs="Times New Roman"/>
        </w:rPr>
        <w:t>â</w:t>
      </w:r>
      <w:r>
        <w:rPr>
          <w:rFonts w:ascii="Trebuchet MS" w:hAnsi="Trebuchet MS"/>
        </w:rPr>
        <w:t>n</w:t>
      </w:r>
      <w:r>
        <w:rPr>
          <w:rFonts w:ascii="Trebuchet MS" w:hAnsi="Trebuchet MS" w:cs="Times New Roman"/>
        </w:rPr>
        <w:t>ţă</w:t>
      </w:r>
      <w:r>
        <w:rPr>
          <w:rFonts w:ascii="Trebuchet MS" w:hAnsi="Trebuchet MS"/>
        </w:rPr>
        <w:t xml:space="preserve"> disponibil</w:t>
      </w:r>
      <w:r>
        <w:rPr>
          <w:rFonts w:ascii="Trebuchet MS" w:hAnsi="Trebuchet MS" w:cs="Times New Roman"/>
        </w:rPr>
        <w:t>ă</w:t>
      </w:r>
      <w:r>
        <w:rPr>
          <w:rFonts w:ascii="Trebuchet MS" w:hAnsi="Trebuchet MS"/>
        </w:rPr>
        <w:t xml:space="preserve"> pentru fermieri </w:t>
      </w:r>
      <w:r>
        <w:rPr>
          <w:rFonts w:ascii="Trebuchet MS" w:hAnsi="Trebuchet MS" w:cs="Times New Roman"/>
        </w:rPr>
        <w:t>î</w:t>
      </w:r>
      <w:r>
        <w:rPr>
          <w:rFonts w:ascii="Trebuchet MS" w:hAnsi="Trebuchet MS"/>
        </w:rPr>
        <w:t>ntr-un timp c</w:t>
      </w:r>
      <w:r>
        <w:rPr>
          <w:rFonts w:ascii="Trebuchet MS" w:hAnsi="Trebuchet MS" w:cs="Times New Roman"/>
        </w:rPr>
        <w:t>â</w:t>
      </w:r>
      <w:r>
        <w:rPr>
          <w:rFonts w:ascii="Trebuchet MS" w:hAnsi="Trebuchet MS"/>
        </w:rPr>
        <w:t>t mai scurt.</w:t>
      </w:r>
    </w:p>
    <w:p/>
    <w:sectPr>
      <w:type w:val="continuous"/>
      <w:pgSz w:w="11906" w:h="16838"/>
      <w:pgMar w:top="850" w:right="994" w:bottom="720" w:left="1354" w:header="0" w:footer="158" w:gutter="0"/>
      <w:cols w:space="720" w:num="1"/>
      <w:titlePg/>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Trebuchet MS">
    <w:panose1 w:val="020B0603020202020204"/>
    <w:charset w:val="00"/>
    <w:family w:val="swiss"/>
    <w:pitch w:val="default"/>
    <w:sig w:usb0="00000687" w:usb1="00000000" w:usb2="00000000" w:usb3="00000000" w:csb0="2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2"/>
  <w:documentProtection w:enforcement="0"/>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6D6"/>
    <w:rsid w:val="00064027"/>
    <w:rsid w:val="001F1BC6"/>
    <w:rsid w:val="004A06D6"/>
    <w:rsid w:val="00907CF3"/>
    <w:rsid w:val="00983186"/>
    <w:rsid w:val="00C81C0A"/>
    <w:rsid w:val="78BB10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US"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No Spacing"/>
    <w:link w:val="5"/>
    <w:qFormat/>
    <w:uiPriority w:val="1"/>
    <w:pPr>
      <w:spacing w:after="0" w:line="240" w:lineRule="auto"/>
    </w:pPr>
    <w:rPr>
      <w:rFonts w:ascii="Arial" w:hAnsi="Arial" w:eastAsia="Times New Roman" w:cs="Arial"/>
      <w:sz w:val="32"/>
      <w:szCs w:val="32"/>
      <w:lang w:val="ro-RO" w:eastAsia="ro-RO" w:bidi="ar-SA"/>
    </w:rPr>
  </w:style>
  <w:style w:type="character" w:customStyle="1" w:styleId="5">
    <w:name w:val="No Spacing Char"/>
    <w:link w:val="4"/>
    <w:uiPriority w:val="1"/>
    <w:rPr>
      <w:rFonts w:ascii="Arial" w:hAnsi="Arial" w:eastAsia="Times New Roman" w:cs="Arial"/>
      <w:sz w:val="32"/>
      <w:szCs w:val="32"/>
      <w:lang w:val="ro-RO" w:eastAsia="ro-RO"/>
    </w:rPr>
  </w:style>
  <w:style w:type="paragraph" w:customStyle="1" w:styleId="6">
    <w:name w:val="Fără spațiere"/>
    <w:qFormat/>
    <w:uiPriority w:val="1"/>
    <w:pPr>
      <w:spacing w:after="0" w:line="240" w:lineRule="auto"/>
    </w:pPr>
    <w:rPr>
      <w:rFonts w:ascii="Calibri" w:hAnsi="Calibri" w:eastAsia="Calibri" w:cs="Times New Roman"/>
      <w:sz w:val="22"/>
      <w:szCs w:val="22"/>
      <w:lang w:val="ro-RO" w:eastAsia="en-US"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389</Words>
  <Characters>2223</Characters>
  <Lines>18</Lines>
  <Paragraphs>5</Paragraphs>
  <TotalTime>5</TotalTime>
  <ScaleCrop>false</ScaleCrop>
  <LinksUpToDate>false</LinksUpToDate>
  <CharactersWithSpaces>2607</CharactersWithSpaces>
  <Application>WPS Office_12.2.0.13489_F1E327BC-269C-435d-A152-05C5408002CA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2024-02-19T09:48:00Z</dcterms:created>
  <dc:creator>Paula Daniela Ursu</dc:creator>
  <cp:lastModifiedBy>NICOLETA TRIFAN</cp:lastModifiedBy>
  <dcterms:modified xsi:type="dcterms:W3CDTF">2024-03-20T12:34:05Z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1033-12.2.0.13489</vt:lpwstr>
  </property>
  <property fmtid="{D5CDD505-2E9C-101B-9397-08002B2CF9AE}" pid="3" name="ICV">
    <vt:lpwstr>E007DDBD0B8A4FA1A5FC73BBDC2E8EC0_13</vt:lpwstr>
  </property>
</Properties>
</file>